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right"/>
      </w:pPr>
      <w:r>
        <w:rPr>
          <w:rFonts w:ascii="Calibri" w:cs="Calibri" w:eastAsia="Calibri" w:hAnsi="Calibri"/>
          <w:b/>
          <w:bCs/>
          <w:color w:val="808080"/>
          <w:sz w:val="17"/>
          <w:szCs w:val="17"/>
        </w:rPr>
        <w:t xml:space="preserve">Warranty Policy No. 1-5.1</w:t>
      </w:r>
      <w:r>
        <w:rPr>
          <w:rFonts w:ascii="Calibri" w:cs="Calibri" w:eastAsia="Calibri" w:hAnsi="Calibri"/>
          <w:color w:val="808080"/>
          <w:sz w:val="17"/>
          <w:szCs w:val="17"/>
        </w:rPr>
        <w:t xml:space="preserve">     Rev. 1.0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B3A6B" w:val="clear"/>
            <w:tcMar>
              <w:top w:type="dxa" w:w="160"/>
              <w:left w:type="dxa" w:w="160"/>
              <w:bottom w:type="dxa" w:w="160"/>
              <w:right w:type="dxa" w:w="160"/>
            </w:tcMar>
          </w:tcPr>
          <w:p>
            <w:pPr>
              <w:spacing w:after="40"/>
              <w:jc w:val="center"/>
            </w:pPr>
            <w:r>
              <w:rPr>
                <w:rFonts w:ascii="Calibri" w:cs="Calibri" w:eastAsia="Calibri" w:hAnsi="Calibri"/>
                <w:b/>
                <w:bCs/>
                <w:color w:val="FFFFFF"/>
                <w:sz w:val="36"/>
                <w:szCs w:val="36"/>
              </w:rPr>
              <w:t xml:space="preserve">PACCAR WARRANTY POLICY</w:t>
            </w:r>
          </w:p>
          <w:p>
            <w:pPr>
              <w:jc w:val="center"/>
            </w:pPr>
            <w:r>
              <w:rPr>
                <w:rFonts w:ascii="Calibri" w:cs="Calibri" w:eastAsia="Calibri" w:hAnsi="Calibri"/>
                <w:color w:val="A8C4E0"/>
                <w:sz w:val="20"/>
                <w:szCs w:val="20"/>
              </w:rPr>
              <w:t xml:space="preserve">Andrews Logistics LP   |   Maintenance Division</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b/>
                <w:bCs/>
                <w:color w:val="1B3A6B"/>
                <w:sz w:val="18"/>
                <w:szCs w:val="18"/>
              </w:rPr>
              <w:t xml:space="preserve">Policy Number</w:t>
            </w:r>
          </w:p>
        </w:tc>
        <w:tc>
          <w:tcPr>
            <w:tcW w:type="dxa" w:w="312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b/>
                <w:bCs/>
                <w:color w:val="1B3A6B"/>
                <w:sz w:val="18"/>
                <w:szCs w:val="18"/>
              </w:rPr>
              <w:t xml:space="preserve">Policy Owner</w:t>
            </w:r>
          </w:p>
        </w:tc>
        <w:tc>
          <w:tcPr>
            <w:tcW w:type="dxa" w:w="312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b/>
                <w:bCs/>
                <w:color w:val="1B3A6B"/>
                <w:sz w:val="18"/>
                <w:szCs w:val="18"/>
              </w:rPr>
              <w:t xml:space="preserve">Effective Date</w:t>
            </w:r>
          </w:p>
        </w:tc>
      </w:tr>
      <w:tr>
        <w:tc>
          <w:tcPr>
            <w:tcW w:type="dxa" w:w="312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8"/>
                <w:szCs w:val="18"/>
              </w:rPr>
              <w:t xml:space="preserve">1-5.1  Rev. 1.0</w:t>
            </w:r>
          </w:p>
        </w:tc>
        <w:tc>
          <w:tcPr>
            <w:tcW w:type="dxa" w:w="312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8"/>
                <w:szCs w:val="18"/>
              </w:rPr>
              <w:t xml:space="preserve">David Reis, Vice President of Maintenance</w:t>
            </w:r>
          </w:p>
        </w:tc>
        <w:tc>
          <w:tcPr>
            <w:tcW w:type="dxa" w:w="312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8"/>
                <w:szCs w:val="18"/>
              </w:rPr>
              <w:t xml:space="preserve">May 2026</w:t>
            </w:r>
          </w:p>
        </w:tc>
      </w:tr>
    </w:tbl>
    <w:p>
      <w:pPr>
        <w:spacing w:after="160"/>
      </w:pPr>
      <w:r>
        <w:rPr>
          <w:rFonts w:ascii="Calibri" w:cs="Calibri" w:eastAsia="Calibri" w:hAnsi="Calibri"/>
        </w:rPr>
        <w:t xml:space="preserve"/>
      </w:r>
    </w:p>
    <w:p>
      <w:pPr>
        <w:pStyle w:val="Heading1"/>
      </w:pPr>
      <w:r>
        <w:rPr>
          <w:rFonts w:ascii="Calibri" w:cs="Calibri" w:eastAsia="Calibri" w:hAnsi="Calibri"/>
        </w:rPr>
        <w:t xml:space="preserve">1.  Purpose</w:t>
      </w:r>
    </w:p>
    <w:p>
      <w:pPr>
        <w:spacing w:after="120" w:line="276"/>
      </w:pPr>
      <w:r>
        <w:rPr>
          <w:rFonts w:ascii="Calibri" w:cs="Calibri" w:eastAsia="Calibri" w:hAnsi="Calibri"/>
          <w:color w:val="333333"/>
        </w:rPr>
        <w:t xml:space="preserve">This policy governs how this organization documents, qualifies, and recovers warranty value on Peterbilt vehicles and PACCAR powertrain repaired in our own shops. It exists for one reason: every dollar of warrantable failure that we repair in-house should be recovered from PACCAR, and none of it should be lost to weak paperwork or a missed deadline.</w:t>
      </w:r>
    </w:p>
    <w:p>
      <w:pPr>
        <w:spacing w:after="120" w:line="276"/>
      </w:pPr>
      <w:r>
        <w:rPr>
          <w:rFonts w:ascii="Calibri" w:cs="Calibri" w:eastAsia="Calibri" w:hAnsi="Calibri"/>
          <w:color w:val="333333"/>
        </w:rPr>
        <w:t xml:space="preserve">We operate as a PACCAR Direct Fleet. That status lets us perform and submit our own warranty repairs — but it also binds us to PACCAR’s full Warranty Procedure Manual and to facility audit. This policy adopts PACCAR’s evidence standard as our internal minimum and adds the controls a fleet needs that a dealer manual does not provide.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0392B" w:sz="18"/>
              <w:left w:val="single" w:color="C0392B" w:sz="18"/>
              <w:bottom w:val="single" w:color="C0392B" w:sz="4"/>
              <w:right w:val="single" w:color="C0392B" w:sz="4"/>
            </w:tcBorders>
            <w:shd w:fill="FBE3E1" w:val="clear"/>
            <w:tcMar>
              <w:top w:type="dxa" w:w="120"/>
              <w:left w:type="dxa" w:w="160"/>
              <w:bottom w:type="dxa" w:w="120"/>
              <w:right w:type="dxa" w:w="160"/>
            </w:tcMar>
          </w:tcPr>
          <w:p>
            <w:pPr>
              <w:spacing w:after="60"/>
            </w:pPr>
            <w:r>
              <w:rPr>
                <w:rFonts w:ascii="Calibri" w:cs="Calibri" w:eastAsia="Calibri" w:hAnsi="Calibri"/>
                <w:b/>
                <w:bCs/>
                <w:color w:val="C0392B"/>
                <w:sz w:val="22"/>
                <w:szCs w:val="22"/>
              </w:rPr>
              <w:t xml:space="preserve">THE GOVERNING RULE</w:t>
            </w:r>
          </w:p>
          <w:p>
            <w:pPr>
              <w:spacing w:after="40"/>
            </w:pPr>
            <w:r>
              <w:rPr>
                <w:rFonts w:ascii="Calibri" w:cs="Calibri" w:eastAsia="Calibri" w:hAnsi="Calibri"/>
                <w:b/>
                <w:bCs/>
                <w:sz w:val="21"/>
                <w:szCs w:val="21"/>
              </w:rPr>
              <w:t xml:space="preserve">No documentation, no claim. </w:t>
            </w:r>
            <w:r>
              <w:rPr>
                <w:rFonts w:ascii="Calibri" w:cs="Calibri" w:eastAsia="Calibri" w:hAnsi="Calibri"/>
                <w:sz w:val="20"/>
                <w:szCs w:val="20"/>
              </w:rPr>
              <w:t xml:space="preserve">A repair that cannot be supported by a complete repair story, the required photos, fault-code/diagnostic evidence, time punches, and a retained failed part is </w:t>
            </w:r>
            <w:r>
              <w:rPr>
                <w:rFonts w:ascii="Calibri" w:cs="Calibri" w:eastAsia="Calibri" w:hAnsi="Calibri"/>
                <w:b/>
                <w:bCs/>
                <w:sz w:val="20"/>
                <w:szCs w:val="20"/>
              </w:rPr>
              <w:t xml:space="preserve">not a warranty repair</w:t>
            </w:r>
            <w:r>
              <w:rPr>
                <w:rFonts w:ascii="Calibri" w:cs="Calibri" w:eastAsia="Calibri" w:hAnsi="Calibri"/>
                <w:sz w:val="20"/>
                <w:szCs w:val="20"/>
              </w:rPr>
              <w:t xml:space="preserve"> — it is an internal cost we absorb. The standard is met before the truck leaves the bay, not reconstructed afterward.</w:t>
            </w:r>
          </w:p>
        </w:tc>
      </w:tr>
    </w:tbl>
    <w:p>
      <w:pPr>
        <w:pStyle w:val="Heading1"/>
      </w:pPr>
      <w:r>
        <w:rPr>
          <w:rFonts w:ascii="Calibri" w:cs="Calibri" w:eastAsia="Calibri" w:hAnsi="Calibri"/>
        </w:rPr>
        <w:t xml:space="preserve">2.  Scope &amp; Authority</w:t>
      </w:r>
    </w:p>
    <w:p>
      <w:pPr>
        <w:pStyle w:val="Heading2"/>
      </w:pPr>
      <w:r>
        <w:rPr>
          <w:rFonts w:ascii="Calibri" w:cs="Calibri" w:eastAsia="Calibri" w:hAnsi="Calibri"/>
        </w:rPr>
        <w:t xml:space="preserve">2.1  Covered</w:t>
      </w:r>
    </w:p>
    <w:p>
      <w:pPr>
        <w:pStyle w:val="ListParagraph"/>
        <w:numPr>
          <w:ilvl w:val="0"/>
          <w:numId w:val="2"/>
        </w:numPr>
        <w:spacing w:after="60" w:line="264"/>
      </w:pPr>
      <w:r>
        <w:rPr>
          <w:rFonts w:ascii="Calibri" w:cs="Calibri" w:eastAsia="Calibri" w:hAnsi="Calibri"/>
        </w:rPr>
        <w:t xml:space="preserve">All Peterbilt Class 8 day cabs and sleepers in our fleet with active PACCAR base or extended warranty coverage.</w:t>
      </w:r>
    </w:p>
    <w:p>
      <w:pPr>
        <w:pStyle w:val="ListParagraph"/>
        <w:numPr>
          <w:ilvl w:val="0"/>
          <w:numId w:val="2"/>
        </w:numPr>
        <w:spacing w:after="60" w:line="264"/>
      </w:pPr>
      <w:r>
        <w:rPr>
          <w:rFonts w:ascii="Calibri" w:cs="Calibri" w:eastAsia="Calibri" w:hAnsi="Calibri"/>
        </w:rPr>
        <w:t xml:space="preserve">Repairs performed at our owned facilities (California; Port Allen, LA) that we intend to submit for warranty credit.</w:t>
      </w:r>
    </w:p>
    <w:p>
      <w:pPr>
        <w:pStyle w:val="ListParagraph"/>
        <w:numPr>
          <w:ilvl w:val="0"/>
          <w:numId w:val="2"/>
        </w:numPr>
        <w:spacing w:after="60" w:line="264"/>
      </w:pPr>
      <w:r>
        <w:rPr>
          <w:rFonts w:ascii="Calibri" w:cs="Calibri" w:eastAsia="Calibri" w:hAnsi="Calibri"/>
        </w:rPr>
        <w:t xml:space="preserve">Bolt-on component repairs and driveline replacement (R&amp;R). We do not perform internal engine repairs in-house — those route to a Peterbilt dealer (see §5).</w:t>
      </w:r>
    </w:p>
    <w:p>
      <w:pPr>
        <w:pStyle w:val="Heading2"/>
      </w:pPr>
      <w:r>
        <w:rPr>
          <w:rFonts w:ascii="Calibri" w:cs="Calibri" w:eastAsia="Calibri" w:hAnsi="Calibri"/>
        </w:rPr>
        <w:t xml:space="preserve">2.2  Controlling standard</w:t>
      </w:r>
    </w:p>
    <w:p>
      <w:pPr>
        <w:spacing w:after="120" w:line="276"/>
      </w:pPr>
      <w:r>
        <w:rPr>
          <w:rFonts w:ascii="Calibri" w:cs="Calibri" w:eastAsia="Calibri" w:hAnsi="Calibri"/>
          <w:color w:val="333333"/>
        </w:rPr>
        <w:t xml:space="preserve">The PACCAR Warranty Procedure Manual (current version, presently v2026.4) is the controlling external authority. Where this policy is silent, PACCAR’s manual governs. Where this policy is stricter than PACCAR, this policy governs. We never apply a standard looser than PACCAR’s.</w:t>
      </w:r>
    </w:p>
    <w:p>
      <w:pPr>
        <w:pStyle w:val="Heading2"/>
      </w:pPr>
      <w:r>
        <w:rPr>
          <w:rFonts w:ascii="Calibri" w:cs="Calibri" w:eastAsia="Calibri" w:hAnsi="Calibri"/>
        </w:rPr>
        <w:t xml:space="preserve">2.3  Not covered by this program</w:t>
      </w:r>
    </w:p>
    <w:p>
      <w:pPr>
        <w:pStyle w:val="ListParagraph"/>
        <w:numPr>
          <w:ilvl w:val="0"/>
          <w:numId w:val="2"/>
        </w:numPr>
        <w:spacing w:after="60" w:line="264"/>
      </w:pPr>
      <w:r>
        <w:rPr>
          <w:rFonts w:ascii="Calibri" w:cs="Calibri" w:eastAsia="Calibri" w:hAnsi="Calibri"/>
          <w:b/>
          <w:bCs/>
        </w:rPr>
        <w:t xml:space="preserve">Internal engine repairs </w:t>
      </w:r>
      <w:r>
        <w:rPr>
          <w:rFonts w:ascii="Calibri" w:cs="Calibri" w:eastAsia="Calibri" w:hAnsi="Calibri"/>
        </w:rPr>
        <w:t xml:space="preserve">of any kind — we do not perform engine-internal work in-house; these route to a Peterbilt dealer.</w:t>
      </w:r>
    </w:p>
    <w:p>
      <w:pPr>
        <w:pStyle w:val="ListParagraph"/>
        <w:numPr>
          <w:ilvl w:val="0"/>
          <w:numId w:val="2"/>
        </w:numPr>
        <w:spacing w:after="60" w:line="264"/>
      </w:pPr>
      <w:r>
        <w:rPr>
          <w:rFonts w:ascii="Calibri" w:cs="Calibri" w:eastAsia="Calibri" w:hAnsi="Calibri"/>
          <w:b/>
          <w:bCs/>
        </w:rPr>
        <w:t xml:space="preserve">PACCAR-designated major component repairs </w:t>
      </w:r>
      <w:r>
        <w:rPr>
          <w:rFonts w:ascii="Calibri" w:cs="Calibri" w:eastAsia="Calibri" w:hAnsi="Calibri"/>
        </w:rPr>
        <w:t xml:space="preserve">that PACCAR requires be performed by a Peterbilt dealer (see §5.2).</w:t>
      </w:r>
    </w:p>
    <w:p>
      <w:pPr>
        <w:pStyle w:val="ListParagraph"/>
        <w:numPr>
          <w:ilvl w:val="0"/>
          <w:numId w:val="2"/>
        </w:numPr>
        <w:spacing w:after="60" w:line="264"/>
      </w:pPr>
      <w:r>
        <w:rPr>
          <w:rFonts w:ascii="Calibri" w:cs="Calibri" w:eastAsia="Calibri" w:hAnsi="Calibri"/>
        </w:rPr>
        <w:t xml:space="preserve">Supplier/extended programs handled outside PACCAR </w:t>
      </w:r>
      <w:r>
        <w:rPr>
          <w:rFonts w:ascii="Calibri" w:cs="Calibri" w:eastAsia="Calibri" w:hAnsi="Calibri"/>
        </w:rPr>
        <w:t xml:space="preserve">(Thermo King, tires, Polar, etc.) — these follow the same framework but will be issued as separate policies.</w:t>
      </w:r>
    </w:p>
    <w:p>
      <w:pPr>
        <w:pageBreakBefore/>
      </w:pPr>
      <w:r>
        <w:rPr>
          <w:rFonts w:ascii="Calibri" w:cs="Calibri" w:eastAsia="Calibri" w:hAnsi="Calibri"/>
        </w:rPr>
        <w:t xml:space="preserve"/>
      </w:r>
    </w:p>
    <w:p>
      <w:pPr>
        <w:pStyle w:val="Heading1"/>
      </w:pPr>
      <w:r>
        <w:rPr>
          <w:rFonts w:ascii="Calibri" w:cs="Calibri" w:eastAsia="Calibri" w:hAnsi="Calibri"/>
        </w:rPr>
        <w:t xml:space="preserve">3.  Eligibility Gates — What We May Claim In-House</w:t>
      </w:r>
    </w:p>
    <w:p>
      <w:pPr>
        <w:spacing w:after="120" w:line="276"/>
      </w:pPr>
      <w:r>
        <w:rPr>
          <w:rFonts w:ascii="Calibri" w:cs="Calibri" w:eastAsia="Calibri" w:hAnsi="Calibri"/>
          <w:color w:val="333333"/>
        </w:rPr>
        <w:t xml:space="preserve">Before any warranty repair begins, the job must clear four gates. If a gate fails, the repair is either routed to a Peterbilt dealer or absorbed as a non-warranty cost. These gates are checked by the technician/foreman at write-up and confirmed by the Warranty Manager.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20"/>
        <w:gridCol w:w="2200"/>
        <w:gridCol w:w="6440"/>
      </w:tblGrid>
      <w:tr>
        <w:trPr>
          <w:tblHeader/>
        </w:trPr>
        <w:tc>
          <w:tcPr>
            <w:tcW w:type="dxa" w:w="72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Gate</w:t>
            </w:r>
          </w:p>
        </w:tc>
        <w:tc>
          <w:tcPr>
            <w:tcW w:type="dxa" w:w="220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Question</w:t>
            </w:r>
          </w:p>
        </w:tc>
        <w:tc>
          <w:tcPr>
            <w:tcW w:type="dxa" w:w="644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Rule</w:t>
            </w:r>
          </w:p>
        </w:tc>
      </w:tr>
      <w:tr>
        <w:tc>
          <w:tcPr>
            <w:tcW w:type="dxa" w:w="72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b/>
                <w:bCs/>
                <w:color w:val="333333"/>
                <w:sz w:val="19"/>
                <w:szCs w:val="19"/>
              </w:rPr>
              <w:t xml:space="preserve">1</w:t>
            </w:r>
          </w:p>
        </w:tc>
        <w:tc>
          <w:tcPr>
            <w:tcW w:type="dxa" w:w="220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In coverage?</w:t>
            </w:r>
          </w:p>
        </w:tc>
        <w:tc>
          <w:tcPr>
            <w:tcW w:type="dxa" w:w="644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The unit’s mileage/age and the failed component fall within an active base or extended coverage term (verify per VIN in PRWS). Out of term = not warrantable.</w:t>
            </w:r>
          </w:p>
        </w:tc>
      </w:tr>
      <w:tr>
        <w:tc>
          <w:tcPr>
            <w:tcW w:type="dxa" w:w="72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b/>
                <w:bCs/>
                <w:color w:val="333333"/>
                <w:sz w:val="19"/>
                <w:szCs w:val="19"/>
              </w:rPr>
              <w:t xml:space="preserve">2</w:t>
            </w:r>
          </w:p>
        </w:tc>
        <w:tc>
          <w:tcPr>
            <w:tcW w:type="dxa" w:w="220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Right repair tier?</w:t>
            </w:r>
          </w:p>
        </w:tc>
        <w:tc>
          <w:tcPr>
            <w:tcW w:type="dxa" w:w="644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Bolt-on/component R&amp;R and driveline R&amp;R may be done in-house. Non-engine MAJOR components route to a Peterbilt dealer unless PACCAR has authorized otherwise.</w:t>
            </w:r>
          </w:p>
        </w:tc>
      </w:tr>
      <w:tr>
        <w:tc>
          <w:tcPr>
            <w:tcW w:type="dxa" w:w="72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b/>
                <w:bCs/>
                <w:color w:val="333333"/>
                <w:sz w:val="19"/>
                <w:szCs w:val="19"/>
              </w:rPr>
              <w:t xml:space="preserve">3</w:t>
            </w:r>
          </w:p>
        </w:tc>
        <w:tc>
          <w:tcPr>
            <w:tcW w:type="dxa" w:w="220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Engine internal work?</w:t>
            </w:r>
          </w:p>
        </w:tc>
        <w:tc>
          <w:tcPr>
            <w:tcW w:type="dxa" w:w="644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We do NOT perform internal engine repairs in-house. Any internal engine repair routes to a Peterbilt dealer — do not start it here.</w:t>
            </w:r>
          </w:p>
        </w:tc>
      </w:tr>
      <w:tr>
        <w:tc>
          <w:tcPr>
            <w:tcW w:type="dxa" w:w="72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b/>
                <w:bCs/>
                <w:color w:val="333333"/>
                <w:sz w:val="19"/>
                <w:szCs w:val="19"/>
              </w:rPr>
              <w:t xml:space="preserve">4</w:t>
            </w:r>
          </w:p>
        </w:tc>
        <w:tc>
          <w:tcPr>
            <w:tcW w:type="dxa" w:w="220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Prior Approval needed?</w:t>
            </w:r>
          </w:p>
        </w:tc>
        <w:tc>
          <w:tcPr>
            <w:tcW w:type="dxa" w:w="644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If the repair is on the Prior-Approval / Service-PA list (§6), STOP and obtain approval BEFORE turning a wrench. Work started before approval is not reimbursable.</w:t>
            </w:r>
          </w:p>
        </w:tc>
      </w:tr>
    </w:tbl>
    <w:p>
      <w:pPr>
        <w:spacing w:after="80"/>
      </w:pPr>
      <w:r>
        <w:rPr>
          <w:rFonts w:ascii="Calibri" w:cs="Calibri" w:eastAsia="Calibri" w:hAnsi="Calibri"/>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0392B" w:sz="18"/>
              <w:left w:val="single" w:color="C0392B" w:sz="18"/>
              <w:bottom w:val="single" w:color="C0392B" w:sz="4"/>
              <w:right w:val="single" w:color="C0392B" w:sz="4"/>
            </w:tcBorders>
            <w:shd w:fill="FBE3E1" w:val="clear"/>
            <w:tcMar>
              <w:top w:type="dxa" w:w="120"/>
              <w:left w:type="dxa" w:w="160"/>
              <w:bottom w:type="dxa" w:w="120"/>
              <w:right w:type="dxa" w:w="160"/>
            </w:tcMar>
          </w:tcPr>
          <w:p>
            <w:pPr>
              <w:spacing w:after="60"/>
            </w:pPr>
            <w:r>
              <w:rPr>
                <w:rFonts w:ascii="Calibri" w:cs="Calibri" w:eastAsia="Calibri" w:hAnsi="Calibri"/>
                <w:b/>
                <w:bCs/>
                <w:color w:val="C0392B"/>
                <w:sz w:val="22"/>
                <w:szCs w:val="22"/>
              </w:rPr>
              <w:t xml:space="preserve">WHY THIS MATTERS</w:t>
            </w:r>
          </w:p>
          <w:p>
            <w:pPr>
              <w:spacing w:after="40"/>
            </w:pPr>
            <w:r>
              <w:rPr>
                <w:rFonts w:ascii="Calibri" w:cs="Calibri" w:eastAsia="Calibri" w:hAnsi="Calibri"/>
                <w:sz w:val="20"/>
                <w:szCs w:val="20"/>
              </w:rPr>
              <w:t xml:space="preserve">A technician who starts a job that fails a gate — an out-of-coverage unit, or an internal engine repair we send to a dealer — burns labor and parts we can never recover. </w:t>
            </w:r>
            <w:r>
              <w:rPr>
                <w:rFonts w:ascii="Calibri" w:cs="Calibri" w:eastAsia="Calibri" w:hAnsi="Calibri"/>
                <w:b/>
                <w:bCs/>
                <w:sz w:val="20"/>
                <w:szCs w:val="20"/>
              </w:rPr>
              <w:t xml:space="preserve">The gates are the line between recovered cost and absorbed loss.</w:t>
            </w:r>
          </w:p>
        </w:tc>
      </w:tr>
    </w:tbl>
    <w:p>
      <w:pPr>
        <w:pStyle w:val="Heading1"/>
      </w:pPr>
      <w:r>
        <w:rPr>
          <w:rFonts w:ascii="Calibri" w:cs="Calibri" w:eastAsia="Calibri" w:hAnsi="Calibri"/>
        </w:rPr>
        <w:t xml:space="preserve">4.  Deadlines — The Clock Is the Enemy</w:t>
      </w:r>
    </w:p>
    <w:p>
      <w:pPr>
        <w:spacing w:after="120" w:line="276"/>
      </w:pPr>
      <w:r>
        <w:rPr>
          <w:rFonts w:ascii="Calibri" w:cs="Calibri" w:eastAsia="Calibri" w:hAnsi="Calibri"/>
          <w:color w:val="333333"/>
        </w:rPr>
        <w:t xml:space="preserve">As a Direct Fleet, our hardest constraint is time. PACCAR will not accept a claim filed more than 45 days after the date of failure. That clock starts when the truck breaks — not when we finish fixing it. A unit that sits broken before it reaches our bay is already burning the window.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2100"/>
        <w:gridCol w:w="3660"/>
      </w:tblGrid>
      <w:tr>
        <w:trPr>
          <w:tblHeader/>
        </w:trPr>
        <w:tc>
          <w:tcPr>
            <w:tcW w:type="dxa" w:w="360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Milestone</w:t>
            </w:r>
          </w:p>
        </w:tc>
        <w:tc>
          <w:tcPr>
            <w:tcW w:type="dxa" w:w="210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Limit</w:t>
            </w:r>
          </w:p>
        </w:tc>
        <w:tc>
          <w:tcPr>
            <w:tcW w:type="dxa" w:w="366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Our internal target</w:t>
            </w:r>
          </w:p>
        </w:tc>
      </w:tr>
      <w:tr>
        <w:tc>
          <w:tcPr>
            <w:tcW w:type="dxa" w:w="360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Repair Order opened after failure</w:t>
            </w:r>
          </w:p>
        </w:tc>
        <w:tc>
          <w:tcPr>
            <w:tcW w:type="dxa" w:w="210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ASAP</w:t>
            </w:r>
          </w:p>
        </w:tc>
        <w:tc>
          <w:tcPr>
            <w:tcW w:type="dxa" w:w="366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Same day the unit is diagnosed</w:t>
            </w:r>
          </w:p>
        </w:tc>
      </w:tr>
      <w:tr>
        <w:tc>
          <w:tcPr>
            <w:tcW w:type="dxa" w:w="360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RO closed date vs. last time punch</w:t>
            </w:r>
          </w:p>
        </w:tc>
        <w:tc>
          <w:tcPr>
            <w:tcW w:type="dxa" w:w="210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 5 days</w:t>
            </w:r>
          </w:p>
        </w:tc>
        <w:tc>
          <w:tcPr>
            <w:tcW w:type="dxa" w:w="366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 2 days</w:t>
            </w:r>
          </w:p>
        </w:tc>
      </w:tr>
      <w:tr>
        <w:tc>
          <w:tcPr>
            <w:tcW w:type="dxa" w:w="360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Claim filed in PRWS after failure</w:t>
            </w:r>
          </w:p>
        </w:tc>
        <w:tc>
          <w:tcPr>
            <w:tcW w:type="dxa" w:w="210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 45 days (hard)</w:t>
            </w:r>
          </w:p>
        </w:tc>
        <w:tc>
          <w:tcPr>
            <w:tcW w:type="dxa" w:w="366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 15 days from repair complete</w:t>
            </w:r>
          </w:p>
        </w:tc>
      </w:tr>
      <w:tr>
        <w:tc>
          <w:tcPr>
            <w:tcW w:type="dxa" w:w="360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Campaign/recall claim</w:t>
            </w:r>
          </w:p>
        </w:tc>
        <w:tc>
          <w:tcPr>
            <w:tcW w:type="dxa" w:w="210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 14 days</w:t>
            </w:r>
          </w:p>
        </w:tc>
        <w:tc>
          <w:tcPr>
            <w:tcW w:type="dxa" w:w="366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 7 days</w:t>
            </w:r>
          </w:p>
        </w:tc>
      </w:tr>
      <w:tr>
        <w:tc>
          <w:tcPr>
            <w:tcW w:type="dxa" w:w="360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b/>
                <w:bCs/>
                <w:color w:val="333333"/>
                <w:sz w:val="19"/>
                <w:szCs w:val="19"/>
              </w:rPr>
              <w:t xml:space="preserve">Late-file authorization</w:t>
            </w:r>
          </w:p>
        </w:tc>
        <w:tc>
          <w:tcPr>
            <w:tcW w:type="dxa" w:w="210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PACCAR Warranty Director only</w:t>
            </w:r>
          </w:p>
        </w:tc>
        <w:tc>
          <w:tcPr>
            <w:tcW w:type="dxa" w:w="366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Avoid — treat as an escalation, attach approval to claim</w:t>
            </w:r>
          </w:p>
        </w:tc>
      </w:tr>
    </w:tbl>
    <w:p>
      <w:pPr>
        <w:spacing w:after="80"/>
      </w:pPr>
      <w:r>
        <w:rPr>
          <w:rFonts w:ascii="Calibri" w:cs="Calibri" w:eastAsia="Calibri" w:hAnsi="Calibri"/>
        </w:rPr>
        <w:t xml:space="preserve"/>
      </w:r>
    </w:p>
    <w:p>
      <w:pPr>
        <w:spacing w:after="120" w:line="276"/>
      </w:pPr>
      <w:r>
        <w:rPr>
          <w:rFonts w:ascii="Calibri" w:cs="Calibri" w:eastAsia="Calibri" w:hAnsi="Calibri"/>
          <w:color w:val="333333"/>
        </w:rPr>
        <w:t xml:space="preserve">Internal targets are deliberately tighter than PACCAR’s limits so a single processing delay does not blow the hard deadline. Missing the 45-day failure clock converts a recoverable repair into an absorbed loss; repeated misses are a performance issue, not an accident.</w:t>
      </w:r>
    </w:p>
    <w:p>
      <w:pPr>
        <w:pageBreakBefore/>
      </w:pPr>
      <w:r>
        <w:rPr>
          <w:rFonts w:ascii="Calibri" w:cs="Calibri" w:eastAsia="Calibri" w:hAnsi="Calibri"/>
        </w:rPr>
        <w:t xml:space="preserve"/>
      </w:r>
    </w:p>
    <w:p>
      <w:pPr>
        <w:pStyle w:val="Heading1"/>
      </w:pPr>
      <w:r>
        <w:rPr>
          <w:rFonts w:ascii="Calibri" w:cs="Calibri" w:eastAsia="Calibri" w:hAnsi="Calibri"/>
        </w:rPr>
        <w:t xml:space="preserve">5.  Coverage &amp; Component Routing</w:t>
      </w:r>
    </w:p>
    <w:p>
      <w:pPr>
        <w:pStyle w:val="Heading2"/>
      </w:pPr>
      <w:r>
        <w:rPr>
          <w:rFonts w:ascii="Calibri" w:cs="Calibri" w:eastAsia="Calibri" w:hAnsi="Calibri"/>
        </w:rPr>
        <w:t xml:space="preserve">5.1  Coverage tiers (day cab &amp; sleeper, Class 8)</w:t>
      </w:r>
    </w:p>
    <w:p>
      <w:pPr>
        <w:spacing w:after="120" w:line="276"/>
      </w:pPr>
      <w:r>
        <w:rPr>
          <w:rFonts w:ascii="Calibri" w:cs="Calibri" w:eastAsia="Calibri" w:hAnsi="Calibri"/>
          <w:color w:val="333333"/>
        </w:rPr>
        <w:t xml:space="preserve">Two coverage layers apply. Both must be verified per VIN in PRWS before relying on them — extended terms vary by what was purchased on each unit.</w:t>
      </w:r>
    </w:p>
    <w:p>
      <w:r>
        <w:rPr>
          <w:rFonts w:ascii="Calibri" w:cs="Calibri" w:eastAsia="Calibri" w:hAnsi="Calibri"/>
          <w:b/>
          <w:bCs/>
          <w:color w:val="1B3A6B"/>
        </w:rPr>
        <w:t xml:space="preserve">Basic / Standard coverage</w:t>
      </w:r>
      <w:r>
        <w:rPr>
          <w:rFonts w:ascii="Calibri" w:cs="Calibri" w:eastAsia="Calibri" w:hAnsi="Calibri"/>
        </w:rPr>
        <w:t xml:space="preserve"> (shown in </w:t>
      </w:r>
      <w:r>
        <w:rPr>
          <w:rFonts w:ascii="Calibri" w:cs="Calibri" w:eastAsia="Calibri" w:hAnsi="Calibri"/>
          <w:b/>
          <w:bCs/>
          <w:color w:val="2E75B6"/>
        </w:rPr>
        <w:t xml:space="preserve">blue</w:t>
      </w:r>
      <w:r>
        <w:rPr>
          <w:rFonts w:ascii="Calibri" w:cs="Calibri" w:eastAsia="Calibri" w:hAnsi="Calibri"/>
        </w:rPr>
        <w:t xml:space="preserve"> on the Coverage Quick Reference): the factory base warranty that comes with the truck — e.g., Standard Vehicle 12 mo / 100,000 mi, major vehicle components 36 mo / 300,000 mi.</w:t>
      </w:r>
    </w:p>
    <w:p>
      <w:r>
        <w:rPr>
          <w:rFonts w:ascii="Calibri" w:cs="Calibri" w:eastAsia="Calibri" w:hAnsi="Calibri"/>
          <w:b/>
          <w:bCs/>
          <w:color w:val="1B3A6B"/>
        </w:rPr>
        <w:t xml:space="preserve">Extended coverage</w:t>
      </w:r>
      <w:r>
        <w:rPr>
          <w:rFonts w:ascii="Calibri" w:cs="Calibri" w:eastAsia="Calibri" w:hAnsi="Calibri"/>
        </w:rPr>
        <w:t xml:space="preserve"> (shown in </w:t>
      </w:r>
      <w:r>
        <w:rPr>
          <w:rFonts w:ascii="Calibri" w:cs="Calibri" w:eastAsia="Calibri" w:hAnsi="Calibri"/>
          <w:b/>
          <w:bCs/>
          <w:color w:val="808080"/>
        </w:rPr>
        <w:t xml:space="preserve">grey</w:t>
      </w:r>
      <w:r>
        <w:rPr>
          <w:rFonts w:ascii="Calibri" w:cs="Calibri" w:eastAsia="Calibri" w:hAnsi="Calibri"/>
        </w:rPr>
        <w:t xml:space="preserve">): the extended agreement we purchased — </w:t>
      </w:r>
      <w:r>
        <w:rPr>
          <w:rFonts w:ascii="Calibri" w:cs="Calibri" w:eastAsia="Calibri" w:hAnsi="Calibri"/>
          <w:b/>
          <w:bCs/>
        </w:rPr>
        <w:t xml:space="preserve">5 years / 500,000 miles</w:t>
      </w:r>
      <w:r>
        <w:rPr>
          <w:rFonts w:ascii="Calibri" w:cs="Calibri" w:eastAsia="Calibri" w:hAnsi="Calibri"/>
        </w:rPr>
        <w:t xml:space="preserve">. It applies only to units it was bought on and only to the components it covers. Confirm per VIN in PRWS before relying on it; do not assume.</w:t>
      </w:r>
    </w:p>
    <w:p>
      <w:pPr>
        <w:pStyle w:val="Heading2"/>
      </w:pPr>
      <w:r>
        <w:rPr>
          <w:rFonts w:ascii="Calibri" w:cs="Calibri" w:eastAsia="Calibri" w:hAnsi="Calibri"/>
        </w:rPr>
        <w:t xml:space="preserve">5.2  Component routing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3400"/>
        <w:gridCol w:w="2560"/>
      </w:tblGrid>
      <w:tr>
        <w:trPr>
          <w:tblHeader/>
        </w:trPr>
        <w:tc>
          <w:tcPr>
            <w:tcW w:type="dxa" w:w="340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Repair class</w:t>
            </w:r>
          </w:p>
        </w:tc>
        <w:tc>
          <w:tcPr>
            <w:tcW w:type="dxa" w:w="340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Example</w:t>
            </w:r>
          </w:p>
        </w:tc>
        <w:tc>
          <w:tcPr>
            <w:tcW w:type="dxa" w:w="256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Where it goes</w:t>
            </w:r>
          </w:p>
        </w:tc>
      </w:tr>
      <w:tr>
        <w:tc>
          <w:tcPr>
            <w:tcW w:type="dxa" w:w="3400"/>
            <w:tcBorders>
              <w:top w:val="single" w:color="BFBFBF" w:sz="1"/>
              <w:left w:val="single" w:color="BFBFBF" w:sz="1"/>
              <w:bottom w:val="single" w:color="BFBFBF" w:sz="1"/>
              <w:right w:val="single" w:color="BFBFBF" w:sz="1"/>
            </w:tcBorders>
            <w:shd w:fill="E3F1E1"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Component R&amp;R</w:t>
            </w:r>
          </w:p>
        </w:tc>
        <w:tc>
          <w:tcPr>
            <w:tcW w:type="dxa" w:w="340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Sensors, alternator/starter, HVAC parts, lamps, harness repair, valves</w:t>
            </w:r>
          </w:p>
        </w:tc>
        <w:tc>
          <w:tcPr>
            <w:tcW w:type="dxa" w:w="2560"/>
            <w:tcBorders>
              <w:top w:val="single" w:color="BFBFBF" w:sz="1"/>
              <w:left w:val="single" w:color="BFBFBF" w:sz="1"/>
              <w:bottom w:val="single" w:color="BFBFBF" w:sz="1"/>
              <w:right w:val="single" w:color="BFBFBF" w:sz="1"/>
            </w:tcBorders>
            <w:shd w:fill="E3F1E1"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In-house ✓</w:t>
            </w:r>
          </w:p>
        </w:tc>
      </w:tr>
      <w:tr>
        <w:tc>
          <w:tcPr>
            <w:tcW w:type="dxa" w:w="3400"/>
            <w:tcBorders>
              <w:top w:val="single" w:color="BFBFBF" w:sz="1"/>
              <w:left w:val="single" w:color="BFBFBF" w:sz="1"/>
              <w:bottom w:val="single" w:color="BFBFBF" w:sz="1"/>
              <w:right w:val="single" w:color="BFBFBF" w:sz="1"/>
            </w:tcBorders>
            <w:shd w:fill="E3F1E1"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Driveline R&amp;R</w:t>
            </w:r>
          </w:p>
        </w:tc>
        <w:tc>
          <w:tcPr>
            <w:tcW w:type="dxa" w:w="340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Transmission / axle replacement (assembly swap, not internal rebuild)</w:t>
            </w:r>
          </w:p>
        </w:tc>
        <w:tc>
          <w:tcPr>
            <w:tcW w:type="dxa" w:w="2560"/>
            <w:tcBorders>
              <w:top w:val="single" w:color="BFBFBF" w:sz="1"/>
              <w:left w:val="single" w:color="BFBFBF" w:sz="1"/>
              <w:bottom w:val="single" w:color="BFBFBF" w:sz="1"/>
              <w:right w:val="single" w:color="BFBFBF" w:sz="1"/>
            </w:tcBorders>
            <w:shd w:fill="E3F1E1"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In-house ✓</w:t>
            </w:r>
          </w:p>
        </w:tc>
      </w:tr>
      <w:tr>
        <w:tc>
          <w:tcPr>
            <w:tcW w:type="dxa" w:w="3400"/>
            <w:tcBorders>
              <w:top w:val="single" w:color="BFBFBF" w:sz="1"/>
              <w:left w:val="single" w:color="BFBFBF" w:sz="1"/>
              <w:bottom w:val="single" w:color="BFBFBF" w:sz="1"/>
              <w:right w:val="single" w:color="BFBFBF" w:sz="1"/>
            </w:tcBorders>
            <w:shd w:fill="FBE3E1"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Engine internal repair</w:t>
            </w:r>
          </w:p>
        </w:tc>
        <w:tc>
          <w:tcPr>
            <w:tcW w:type="dxa" w:w="340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Any internal engine repair</w:t>
            </w:r>
          </w:p>
        </w:tc>
        <w:tc>
          <w:tcPr>
            <w:tcW w:type="dxa" w:w="2560"/>
            <w:tcBorders>
              <w:top w:val="single" w:color="BFBFBF" w:sz="1"/>
              <w:left w:val="single" w:color="BFBFBF" w:sz="1"/>
              <w:bottom w:val="single" w:color="BFBFBF" w:sz="1"/>
              <w:right w:val="single" w:color="BFBFBF" w:sz="1"/>
            </w:tcBorders>
            <w:shd w:fill="FBE3E1"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Peterbilt dealer / distributor — not performed in-house</w:t>
            </w:r>
          </w:p>
        </w:tc>
      </w:tr>
      <w:tr>
        <w:tc>
          <w:tcPr>
            <w:tcW w:type="dxa" w:w="3400"/>
            <w:tcBorders>
              <w:top w:val="single" w:color="BFBFBF" w:sz="1"/>
              <w:left w:val="single" w:color="BFBFBF" w:sz="1"/>
              <w:bottom w:val="single" w:color="BFBFBF" w:sz="1"/>
              <w:right w:val="single" w:color="BFBFBF" w:sz="1"/>
            </w:tcBorders>
            <w:shd w:fill="E4E4E4"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Non-engine major component</w:t>
            </w:r>
          </w:p>
        </w:tc>
        <w:tc>
          <w:tcPr>
            <w:tcW w:type="dxa" w:w="340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Major structural / certain driveline internals per PACCAR</w:t>
            </w:r>
          </w:p>
        </w:tc>
        <w:tc>
          <w:tcPr>
            <w:tcW w:type="dxa" w:w="256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Peterbilt dealer unless PACCAR authorizes</w:t>
            </w:r>
          </w:p>
        </w:tc>
      </w:tr>
      <w:tr>
        <w:tc>
          <w:tcPr>
            <w:tcW w:type="dxa" w:w="3400"/>
            <w:tcBorders>
              <w:top w:val="single" w:color="BFBFBF" w:sz="1"/>
              <w:left w:val="single" w:color="BFBFBF" w:sz="1"/>
              <w:bottom w:val="single" w:color="BFBFBF" w:sz="1"/>
              <w:right w:val="single" w:color="BFBFBF" w:sz="1"/>
            </w:tcBorders>
            <w:shd w:fill="D6E4F0"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Federal recall / campaign</w:t>
            </w:r>
          </w:p>
        </w:tc>
        <w:tc>
          <w:tcPr>
            <w:tcW w:type="dxa" w:w="340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Safety recall, field repair campaign</w:t>
            </w:r>
          </w:p>
        </w:tc>
        <w:tc>
          <w:tcPr>
            <w:tcW w:type="dxa" w:w="256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Direct Fleet may perform; file within 14 days</w:t>
            </w:r>
          </w:p>
        </w:tc>
      </w:tr>
    </w:tbl>
    <w:p>
      <w:pPr>
        <w:spacing w:after="80"/>
      </w:pPr>
      <w:r>
        <w:rPr>
          <w:rFonts w:ascii="Calibri" w:cs="Calibri" w:eastAsia="Calibri" w:hAnsi="Calibri"/>
        </w:rPr>
        <w:t xml:space="preserve"/>
      </w:r>
    </w:p>
    <w:p>
      <w:pPr>
        <w:pStyle w:val="Heading3"/>
      </w:pPr>
      <w:r>
        <w:rPr>
          <w:rFonts w:ascii="Calibri" w:cs="Calibri" w:eastAsia="Calibri" w:hAnsi="Calibri"/>
        </w:rPr>
        <w:t xml:space="preserve">Engine work is routed out</w:t>
      </w:r>
    </w:p>
    <w:p>
      <w:pPr>
        <w:spacing w:after="120" w:line="276"/>
      </w:pPr>
      <w:r>
        <w:rPr>
          <w:rFonts w:ascii="Calibri" w:cs="Calibri" w:eastAsia="Calibri" w:hAnsi="Calibri"/>
          <w:color w:val="333333"/>
        </w:rPr>
        <w:t xml:space="preserve">We do not perform internal engine repairs in-house, so no in-house engine-internal warranty claims are filed. When a unit needs internal engine work it goes to a Peterbilt dealer, who handles the engine prior approval and preventive-maintenance documentation as part of that repair. Our job is to route it promptly so the failure stays inside the claim window.</w:t>
      </w:r>
    </w:p>
    <w:p>
      <w:pPr>
        <w:pStyle w:val="Heading1"/>
      </w:pPr>
      <w:r>
        <w:rPr>
          <w:rFonts w:ascii="Calibri" w:cs="Calibri" w:eastAsia="Calibri" w:hAnsi="Calibri"/>
        </w:rPr>
        <w:t xml:space="preserve">6.  Prior Approval — Stop Before You Start</w:t>
      </w:r>
    </w:p>
    <w:p>
      <w:pPr>
        <w:spacing w:after="120" w:line="276"/>
      </w:pPr>
      <w:r>
        <w:rPr>
          <w:rFonts w:ascii="Calibri" w:cs="Calibri" w:eastAsia="Calibri" w:hAnsi="Calibri"/>
          <w:color w:val="333333"/>
        </w:rPr>
        <w:t xml:space="preserve">Certain repairs must be authorized before work begins. A Prior Approval (PA) or documented TCS365 case number must be on the claim at submission. A PA does not guarantee payment, but the absence of a required PA guarantees denial.</w:t>
      </w:r>
    </w:p>
    <w:p>
      <w:pPr>
        <w:pStyle w:val="ListParagraph"/>
        <w:numPr>
          <w:ilvl w:val="0"/>
          <w:numId w:val="2"/>
        </w:numPr>
        <w:spacing w:after="60" w:line="264"/>
      </w:pPr>
      <w:r>
        <w:rPr>
          <w:rFonts w:ascii="Calibri" w:cs="Calibri" w:eastAsia="Calibri" w:hAnsi="Calibri"/>
          <w:b/>
          <w:bCs/>
        </w:rPr>
        <w:t xml:space="preserve">Warranty PA: </w:t>
      </w:r>
      <w:r>
        <w:rPr>
          <w:rFonts w:ascii="Calibri" w:cs="Calibri" w:eastAsia="Calibri" w:hAnsi="Calibri"/>
        </w:rPr>
        <w:t xml:space="preserve">warrantable cab, hood, sleeper, sheet-metal or structural repair/replacement over $3,000 (parts + labor).</w:t>
      </w:r>
    </w:p>
    <w:p>
      <w:pPr>
        <w:pStyle w:val="ListParagraph"/>
        <w:numPr>
          <w:ilvl w:val="0"/>
          <w:numId w:val="2"/>
        </w:numPr>
        <w:spacing w:after="60" w:line="264"/>
      </w:pPr>
      <w:r>
        <w:rPr>
          <w:rFonts w:ascii="Calibri" w:cs="Calibri" w:eastAsia="Calibri" w:hAnsi="Calibri"/>
          <w:b/>
          <w:bCs/>
        </w:rPr>
        <w:t xml:space="preserve">Paint PA: </w:t>
      </w:r>
      <w:r>
        <w:rPr>
          <w:rFonts w:ascii="Calibri" w:cs="Calibri" w:eastAsia="Calibri" w:hAnsi="Calibri"/>
        </w:rPr>
        <w:t xml:space="preserve">paint repairs of 10+ labor hours — before pictures required.</w:t>
      </w:r>
    </w:p>
    <w:p>
      <w:pPr>
        <w:pStyle w:val="ListParagraph"/>
        <w:numPr>
          <w:ilvl w:val="0"/>
          <w:numId w:val="2"/>
        </w:numPr>
        <w:spacing w:after="60" w:line="264"/>
      </w:pPr>
      <w:r>
        <w:rPr>
          <w:rFonts w:ascii="Calibri" w:cs="Calibri" w:eastAsia="Calibri" w:hAnsi="Calibri"/>
          <w:b/>
          <w:bCs/>
        </w:rPr>
        <w:t xml:space="preserve">TCS365 diagnostic case (via escalation): </w:t>
      </w:r>
      <w:r>
        <w:rPr>
          <w:rFonts w:ascii="Calibri" w:cs="Calibri" w:eastAsia="Calibri" w:hAnsi="Calibri"/>
        </w:rPr>
        <w:t xml:space="preserve">when troubleshooting passes 3 hours with no clear path (8 hours with DTM involvement), the technician STOPS and escalates to their manager and the RDS team (Andrews Remote Diagnostic Support). Only a Manager, RDS, or Director may open the TCS365 case — the technician never opens it directly.</w:t>
      </w:r>
    </w:p>
    <w:p>
      <w:pPr>
        <w:pStyle w:val="ListParagraph"/>
        <w:numPr>
          <w:ilvl w:val="0"/>
          <w:numId w:val="2"/>
        </w:numPr>
        <w:spacing w:after="60" w:line="264"/>
      </w:pPr>
      <w:r>
        <w:rPr>
          <w:rFonts w:ascii="Calibri" w:cs="Calibri" w:eastAsia="Calibri" w:hAnsi="Calibri"/>
          <w:b/>
          <w:bCs/>
        </w:rPr>
        <w:t xml:space="preserve">Chassis modifications: </w:t>
      </w:r>
      <w:r>
        <w:rPr>
          <w:rFonts w:ascii="Calibri" w:cs="Calibri" w:eastAsia="Calibri" w:hAnsi="Calibri"/>
        </w:rPr>
        <w:t xml:space="preserve">require before-and-after photos and a documented TCS365 case number.</w:t>
      </w:r>
    </w:p>
    <w:p>
      <w:pPr>
        <w:pageBreakBefore/>
      </w:pPr>
      <w:r>
        <w:rPr>
          <w:rFonts w:ascii="Calibri" w:cs="Calibri" w:eastAsia="Calibri" w:hAnsi="Calibri"/>
        </w:rPr>
        <w:t xml:space="preserve"/>
      </w:r>
    </w:p>
    <w:p>
      <w:pPr>
        <w:pStyle w:val="Heading1"/>
      </w:pPr>
      <w:r>
        <w:rPr>
          <w:rFonts w:ascii="Calibri" w:cs="Calibri" w:eastAsia="Calibri" w:hAnsi="Calibri"/>
        </w:rPr>
        <w:t xml:space="preserve">7.  Documentation Standard (Mandatory)</w:t>
      </w:r>
    </w:p>
    <w:p>
      <w:pPr>
        <w:spacing w:after="120" w:line="276"/>
      </w:pPr>
      <w:r>
        <w:rPr>
          <w:rFonts w:ascii="Calibri" w:cs="Calibri" w:eastAsia="Calibri" w:hAnsi="Calibri"/>
          <w:color w:val="333333"/>
        </w:rPr>
        <w:t xml:space="preserve">Every warranty repair carries a complete evidence package, assembled in the bay, before the claim is filed. The Field Procedure Manual is the how-to; this is the policy minimum.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rPr>
          <w:tblHeader/>
        </w:trPr>
        <w:tc>
          <w:tcPr>
            <w:tcW w:type="dxa" w:w="260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Element</w:t>
            </w:r>
          </w:p>
        </w:tc>
        <w:tc>
          <w:tcPr>
            <w:tcW w:type="dxa" w:w="676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Standard</w:t>
            </w:r>
          </w:p>
        </w:tc>
      </w:tr>
      <w:tr>
        <w:tc>
          <w:tcPr>
            <w:tcW w:type="dxa" w:w="260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Repair story (CCC)</w:t>
            </w:r>
          </w:p>
        </w:tc>
        <w:tc>
          <w:tcPr>
            <w:tcW w:type="dxa" w:w="676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Complaint (plain language), plus a warranty-valid Cause and Correction code from FleetRock’s locked lists. Fault codes and exit steps recorded; non-time and progressive damage justified. No copy-paste of tech notes; no “faulty/defective” with no cause.</w:t>
            </w:r>
          </w:p>
        </w:tc>
      </w:tr>
      <w:tr>
        <w:tc>
          <w:tcPr>
            <w:tcW w:type="dxa" w:w="260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Photos</w:t>
            </w:r>
          </w:p>
        </w:tc>
        <w:tc>
          <w:tcPr>
            <w:tcW w:type="dxa" w:w="676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Per the Photo Requirements Quick Reference. The defect must be clearly visible. Before/after where required. Incomplete or unclear photos delay or deny the claim.</w:t>
            </w:r>
          </w:p>
        </w:tc>
      </w:tr>
      <w:tr>
        <w:tc>
          <w:tcPr>
            <w:tcW w:type="dxa" w:w="260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Diagnostics</w:t>
            </w:r>
          </w:p>
        </w:tc>
        <w:tc>
          <w:tcPr>
            <w:tcW w:type="dxa" w:w="676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DAVIE / ESA captures for the failure; measured values vs. spec; repair-verification cycle results where applicable.</w:t>
            </w:r>
          </w:p>
        </w:tc>
      </w:tr>
      <w:tr>
        <w:tc>
          <w:tcPr>
            <w:tcW w:type="dxa" w:w="260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Time punches</w:t>
            </w:r>
          </w:p>
        </w:tc>
        <w:tc>
          <w:tcPr>
            <w:tcW w:type="dxa" w:w="676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Electronic punches per technician per operation, date and time, hours and tenths. Warranty time recorded separately from internal/customer-pay. Handwritten time is not accepted.</w:t>
            </w:r>
          </w:p>
        </w:tc>
      </w:tr>
      <w:tr>
        <w:tc>
          <w:tcPr>
            <w:tcW w:type="dxa" w:w="260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Failed part</w:t>
            </w:r>
          </w:p>
        </w:tc>
        <w:tc>
          <w:tcPr>
            <w:tcW w:type="dxa" w:w="676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Tagged with the Warranty Defective Material Tag, retained in a secure area, held 30 days after the Claim Unit is paid unless a Return Authorization is issued.</w:t>
            </w:r>
          </w:p>
        </w:tc>
      </w:tr>
      <w:tr>
        <w:tc>
          <w:tcPr>
            <w:tcW w:type="dxa" w:w="260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Customer/authority signature</w:t>
            </w:r>
          </w:p>
        </w:tc>
        <w:tc>
          <w:tcPr>
            <w:tcW w:type="dxa" w:w="676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RO signed per PACCAR requirements; for fleet-owned units, the service manager signs.</w:t>
            </w:r>
          </w:p>
        </w:tc>
      </w:tr>
    </w:tbl>
    <w:p>
      <w:pPr>
        <w:pStyle w:val="Heading1"/>
      </w:pPr>
      <w:r>
        <w:rPr>
          <w:rFonts w:ascii="Calibri" w:cs="Calibri" w:eastAsia="Calibri" w:hAnsi="Calibri"/>
        </w:rPr>
        <w:t xml:space="preserve">8.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00"/>
        <w:gridCol w:w="7060"/>
      </w:tblGrid>
      <w:tr>
        <w:trPr>
          <w:tblHeader/>
        </w:trPr>
        <w:tc>
          <w:tcPr>
            <w:tcW w:type="dxa" w:w="230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Role</w:t>
            </w:r>
          </w:p>
        </w:tc>
        <w:tc>
          <w:tcPr>
            <w:tcW w:type="dxa" w:w="706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Accountable for</w:t>
            </w:r>
          </w:p>
        </w:tc>
      </w:tr>
      <w:tr>
        <w:tc>
          <w:tcPr>
            <w:tcW w:type="dxa" w:w="230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b/>
                <w:bCs/>
                <w:color w:val="333333"/>
                <w:sz w:val="19"/>
                <w:szCs w:val="19"/>
              </w:rPr>
              <w:t xml:space="preserve">Technician</w:t>
            </w:r>
          </w:p>
        </w:tc>
        <w:tc>
          <w:tcPr>
            <w:tcW w:type="dxa" w:w="706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Selecting the correct System Code and warranty-valid Cause/Correction codes, writing the repair story, and capturing fault codes, photos, and time punches at the time of repair. Escalating stalled diagnostics to the manager/RDS. Tagging and staging the failed part.</w:t>
            </w:r>
          </w:p>
        </w:tc>
      </w:tr>
      <w:tr>
        <w:tc>
          <w:tcPr>
            <w:tcW w:type="dxa" w:w="230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b/>
                <w:bCs/>
                <w:color w:val="333333"/>
                <w:sz w:val="19"/>
                <w:szCs w:val="19"/>
              </w:rPr>
              <w:t xml:space="preserve">Shop Foreman</w:t>
            </w:r>
          </w:p>
        </w:tc>
        <w:tc>
          <w:tcPr>
            <w:tcW w:type="dxa" w:w="706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Confirming the four eligibility gates at write-up. Verifying the evidence package is complete before the RO closes. Routing dealer-only work out.</w:t>
            </w:r>
          </w:p>
        </w:tc>
      </w:tr>
      <w:tr>
        <w:tc>
          <w:tcPr>
            <w:tcW w:type="dxa" w:w="230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b/>
                <w:bCs/>
                <w:color w:val="333333"/>
                <w:sz w:val="19"/>
                <w:szCs w:val="19"/>
              </w:rPr>
              <w:t xml:space="preserve">Warranty Manager</w:t>
            </w:r>
          </w:p>
        </w:tc>
        <w:tc>
          <w:tcPr>
            <w:tcW w:type="dxa" w:w="706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Verifying coverage per VIN, selecting the correct claim type/category, filing in PRWS within the deadline, mirroring the claim into FleetRock, managing parts returns/RAs, and owning appeals and audit readiness.</w:t>
            </w:r>
          </w:p>
        </w:tc>
      </w:tr>
      <w:tr>
        <w:tc>
          <w:tcPr>
            <w:tcW w:type="dxa" w:w="230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b/>
                <w:bCs/>
                <w:color w:val="333333"/>
                <w:sz w:val="19"/>
                <w:szCs w:val="19"/>
              </w:rPr>
              <w:t xml:space="preserve">Operations / Mgmt</w:t>
            </w:r>
          </w:p>
        </w:tc>
        <w:tc>
          <w:tcPr>
            <w:tcW w:type="dxa" w:w="7060"/>
            <w:tcBorders>
              <w:top w:val="single" w:color="BFBFBF" w:sz="1"/>
              <w:left w:val="single" w:color="BFBFBF" w:sz="1"/>
              <w:bottom w:val="single" w:color="BFBFBF" w:sz="1"/>
              <w:right w:val="single" w:color="BFBFBF" w:sz="1"/>
            </w:tcBorders>
            <w:shd w:fill="F5F5F5" w:val="clear"/>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Maintaining Direct Fleet status, required tooling (DAVIE/ESA), and the RDS escalation path; acting on recovery-rate and missed-deadline metrics.</w:t>
            </w:r>
          </w:p>
        </w:tc>
      </w:tr>
    </w:tbl>
    <w:p>
      <w:pPr>
        <w:pStyle w:val="Heading1"/>
      </w:pPr>
      <w:r>
        <w:rPr>
          <w:rFonts w:ascii="Calibri" w:cs="Calibri" w:eastAsia="Calibri" w:hAnsi="Calibri"/>
        </w:rPr>
        <w:t xml:space="preserve">9.  Records Retention &amp; Audit</w:t>
      </w:r>
    </w:p>
    <w:p>
      <w:pPr>
        <w:pStyle w:val="ListParagraph"/>
        <w:numPr>
          <w:ilvl w:val="0"/>
          <w:numId w:val="2"/>
        </w:numPr>
        <w:spacing w:after="60" w:line="264"/>
      </w:pPr>
      <w:r>
        <w:rPr>
          <w:rFonts w:ascii="Calibri" w:cs="Calibri" w:eastAsia="Calibri" w:hAnsi="Calibri"/>
        </w:rPr>
        <w:t xml:space="preserve">All repair orders, claim copies, technician time/job cards, failed-part records, PM documentation, and sublet invoices are retained a minimum of 4 years after PACCAR pays the claim.</w:t>
      </w:r>
    </w:p>
    <w:p>
      <w:pPr>
        <w:pStyle w:val="ListParagraph"/>
        <w:numPr>
          <w:ilvl w:val="0"/>
          <w:numId w:val="2"/>
        </w:numPr>
        <w:spacing w:after="60" w:line="264"/>
      </w:pPr>
      <w:r>
        <w:rPr>
          <w:rFonts w:ascii="Calibri" w:cs="Calibri" w:eastAsia="Calibri" w:hAnsi="Calibri"/>
        </w:rPr>
        <w:t xml:space="preserve">As a Direct Fleet, our facilities and records are open to PACCAR audit during normal business hours with advance notice. We operate as if an audit could occur at any time — because it can.</w:t>
      </w:r>
    </w:p>
    <w:p>
      <w:pPr>
        <w:pStyle w:val="ListParagraph"/>
        <w:numPr>
          <w:ilvl w:val="0"/>
          <w:numId w:val="2"/>
        </w:numPr>
        <w:spacing w:after="60" w:line="264"/>
      </w:pPr>
      <w:r>
        <w:rPr>
          <w:rFonts w:ascii="Calibri" w:cs="Calibri" w:eastAsia="Calibri" w:hAnsi="Calibri"/>
        </w:rPr>
        <w:t xml:space="preserve">Failed parts are stored protected from deterioration. A part that arrives at PACCAR rusted, broken, or damaged from poor storage will cause the claim to be denied.</w:t>
      </w:r>
    </w:p>
    <w:p>
      <w:pPr>
        <w:pStyle w:val="Heading1"/>
      </w:pPr>
      <w:r>
        <w:rPr>
          <w:rFonts w:ascii="Calibri" w:cs="Calibri" w:eastAsia="Calibri" w:hAnsi="Calibri"/>
        </w:rPr>
        <w:t xml:space="preserve">10.  Compliance &amp; Enforcement</w:t>
      </w:r>
    </w:p>
    <w:p>
      <w:pPr>
        <w:spacing w:after="120" w:line="276"/>
      </w:pPr>
      <w:r>
        <w:rPr>
          <w:rFonts w:ascii="Calibri" w:cs="Calibri" w:eastAsia="Calibri" w:hAnsi="Calibri"/>
          <w:color w:val="333333"/>
        </w:rPr>
        <w:t xml:space="preserve">This is a controlled document. Compliance is measured, not assumed.</w:t>
      </w:r>
    </w:p>
    <w:p>
      <w:pPr>
        <w:pStyle w:val="ListParagraph"/>
        <w:numPr>
          <w:ilvl w:val="0"/>
          <w:numId w:val="2"/>
        </w:numPr>
        <w:spacing w:after="60" w:line="264"/>
      </w:pPr>
      <w:r>
        <w:rPr>
          <w:rFonts w:ascii="Calibri" w:cs="Calibri" w:eastAsia="Calibri" w:hAnsi="Calibri"/>
          <w:b/>
          <w:bCs/>
        </w:rPr>
        <w:t xml:space="preserve">Warranty recovery rate </w:t>
      </w:r>
      <w:r>
        <w:rPr>
          <w:rFonts w:ascii="Calibri" w:cs="Calibri" w:eastAsia="Calibri" w:hAnsi="Calibri"/>
        </w:rPr>
        <w:t xml:space="preserve">(warranty $ recovered ÷ warrantable $ repaired) is tracked monthly per location.</w:t>
      </w:r>
    </w:p>
    <w:p>
      <w:pPr>
        <w:pStyle w:val="ListParagraph"/>
        <w:numPr>
          <w:ilvl w:val="0"/>
          <w:numId w:val="2"/>
        </w:numPr>
        <w:spacing w:after="60" w:line="264"/>
      </w:pPr>
      <w:r>
        <w:rPr>
          <w:rFonts w:ascii="Calibri" w:cs="Calibri" w:eastAsia="Calibri" w:hAnsi="Calibri"/>
          <w:b/>
          <w:bCs/>
        </w:rPr>
        <w:t xml:space="preserve">Denied/charged-back claims </w:t>
      </w:r>
      <w:r>
        <w:rPr>
          <w:rFonts w:ascii="Calibri" w:cs="Calibri" w:eastAsia="Calibri" w:hAnsi="Calibri"/>
        </w:rPr>
        <w:t xml:space="preserve">are reviewed for root cause; documentation failures are corrected at the source (technician/foreman).</w:t>
      </w:r>
    </w:p>
    <w:p>
      <w:pPr>
        <w:pStyle w:val="ListParagraph"/>
        <w:numPr>
          <w:ilvl w:val="0"/>
          <w:numId w:val="2"/>
        </w:numPr>
        <w:spacing w:after="60" w:line="264"/>
      </w:pPr>
      <w:r>
        <w:rPr>
          <w:rFonts w:ascii="Calibri" w:cs="Calibri" w:eastAsia="Calibri" w:hAnsi="Calibri"/>
          <w:b/>
          <w:bCs/>
        </w:rPr>
        <w:t xml:space="preserve">Missed 45-day deadlines </w:t>
      </w:r>
      <w:r>
        <w:rPr>
          <w:rFonts w:ascii="Calibri" w:cs="Calibri" w:eastAsia="Calibri" w:hAnsi="Calibri"/>
        </w:rPr>
        <w:t xml:space="preserve">are reported as exceptions with the reason and the dollar value absorbed.</w:t>
      </w:r>
    </w:p>
    <w:p>
      <w:pPr>
        <w:spacing w:after="120" w:line="276"/>
      </w:pPr>
      <w:r>
        <w:rPr>
          <w:rFonts w:ascii="Calibri" w:cs="Calibri" w:eastAsia="Calibri" w:hAnsi="Calibri"/>
          <w:color w:val="333333"/>
        </w:rPr>
        <w:t xml:space="preserve">A claim absorbed because of preventable documentation or timing failure is a controllable loss. The purpose of this policy is to drive that number to zero.</w:t>
      </w:r>
    </w:p>
    <w:p>
      <w:pPr>
        <w:spacing w:after="160"/>
      </w:pPr>
      <w:r>
        <w:rPr>
          <w:rFonts w:ascii="Calibri" w:cs="Calibri" w:eastAsia="Calibri" w:hAnsi="Calibri"/>
        </w:rPr>
        <w:t xml:space="preserve"/>
      </w:r>
    </w:p>
    <w:p>
      <w:pPr>
        <w:pBdr>
          <w:bottom w:val="single" w:color="2E74B5" w:sz="12" w:space="1"/>
        </w:pBdr>
        <w:spacing w:after="160" w:before="40"/>
      </w:pPr>
      <w:r>
        <w:rPr>
          <w:rFonts w:ascii="Calibri" w:cs="Calibri" w:eastAsia="Calibri" w:hAnsi="Calibri"/>
        </w:rPr>
        <w:t xml:space="preserve"/>
      </w:r>
    </w:p>
    <w:p>
      <w:pPr>
        <w:spacing w:after="60"/>
      </w:pPr>
      <w:r>
        <w:rPr>
          <w:rFonts w:ascii="Calibri" w:cs="Calibri" w:eastAsia="Calibri" w:hAnsi="Calibri"/>
          <w:b/>
          <w:bCs/>
          <w:color w:val="1B3A6B"/>
          <w:sz w:val="19"/>
          <w:szCs w:val="19"/>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2200"/>
        <w:gridCol w:w="5760"/>
      </w:tblGrid>
      <w:tr>
        <w:trPr>
          <w:tblHeader/>
        </w:trPr>
        <w:tc>
          <w:tcPr>
            <w:tcW w:type="dxa" w:w="140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Version</w:t>
            </w:r>
          </w:p>
        </w:tc>
        <w:tc>
          <w:tcPr>
            <w:tcW w:type="dxa" w:w="220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Date</w:t>
            </w:r>
          </w:p>
        </w:tc>
        <w:tc>
          <w:tcPr>
            <w:tcW w:type="dxa" w:w="5760"/>
            <w:tcBorders>
              <w:top w:val="single" w:color="BFBFBF" w:sz="1"/>
              <w:left w:val="single" w:color="BFBFBF" w:sz="1"/>
              <w:bottom w:val="single" w:color="BFBFBF" w:sz="1"/>
              <w:right w:val="single" w:color="BFBFBF" w:sz="1"/>
            </w:tcBorders>
            <w:shd w:fill="1B3A6B" w:val="clear"/>
            <w:tcMar>
              <w:top w:type="dxa" w:w="60"/>
              <w:left w:type="dxa" w:w="110"/>
              <w:bottom w:type="dxa" w:w="60"/>
              <w:right w:type="dxa" w:w="110"/>
            </w:tcMar>
            <w:vAlign w:val="center"/>
          </w:tcPr>
          <w:p>
            <w:pPr>
              <w:spacing w:after="20"/>
              <w:jc w:val="left"/>
            </w:pPr>
            <w:r>
              <w:rPr>
                <w:rFonts w:ascii="Calibri" w:cs="Calibri" w:eastAsia="Calibri" w:hAnsi="Calibri"/>
                <w:b/>
                <w:bCs/>
                <w:color w:val="FFFFFF"/>
                <w:sz w:val="19"/>
                <w:szCs w:val="19"/>
              </w:rPr>
              <w:t xml:space="preserve">Change</w:t>
            </w:r>
          </w:p>
        </w:tc>
      </w:tr>
      <w:tr>
        <w:tc>
          <w:tcPr>
            <w:tcW w:type="dxa" w:w="140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1.0</w:t>
            </w:r>
          </w:p>
        </w:tc>
        <w:tc>
          <w:tcPr>
            <w:tcW w:type="dxa" w:w="220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May 29, 2026</w:t>
            </w:r>
          </w:p>
        </w:tc>
        <w:tc>
          <w:tcPr>
            <w:tcW w:type="dxa" w:w="5760"/>
            <w:tcBorders>
              <w:top w:val="single" w:color="BFBFBF" w:sz="1"/>
              <w:left w:val="single" w:color="BFBFBF" w:sz="1"/>
              <w:bottom w:val="single" w:color="BFBFBF" w:sz="1"/>
              <w:right w:val="single" w:color="BFBFBF" w:sz="1"/>
            </w:tcBorders>
            <w:tcMar>
              <w:top w:type="dxa" w:w="60"/>
              <w:left w:type="dxa" w:w="110"/>
              <w:bottom w:type="dxa" w:w="60"/>
              <w:right w:type="dxa" w:w="110"/>
            </w:tcMar>
            <w:vAlign w:val="center"/>
          </w:tcPr>
          <w:p>
            <w:pPr>
              <w:spacing w:after="20"/>
            </w:pPr>
            <w:r>
              <w:rPr>
                <w:rFonts w:ascii="Calibri" w:cs="Calibri" w:eastAsia="Calibri" w:hAnsi="Calibri"/>
                <w:color w:val="333333"/>
                <w:sz w:val="19"/>
                <w:szCs w:val="19"/>
              </w:rPr>
              <w:t xml:space="preserve">Initial release — PACCAR Direct Fleet program (day cab &amp; sleeper).</w:t>
            </w:r>
          </w:p>
        </w:tc>
      </w:tr>
    </w:tbl>
    <w:p>
      <w:pPr>
        <w:spacing w:after="60"/>
      </w:pPr>
      <w:r>
        <w:rPr>
          <w:rFonts w:ascii="Calibri" w:cs="Calibri" w:eastAsia="Calibri" w:hAnsi="Calibri"/>
        </w:rPr>
        <w:t xml:space="preserve"/>
      </w:r>
    </w:p>
    <w:p>
      <w:r>
        <w:rPr>
          <w:rFonts w:ascii="Calibri" w:cs="Calibri" w:eastAsia="Calibri" w:hAnsi="Calibri"/>
          <w:color w:val="595959"/>
          <w:sz w:val="19"/>
          <w:szCs w:val="19"/>
        </w:rPr>
        <w:t xml:space="preserve">Approved: ____________________________   Title: ____________________   Date: __________</w:t>
      </w:r>
    </w:p>
    <w:sectPr>
      <w:headerReference w:type="default" r:id="rId7"/>
      <w:footerReference w:type="default" r:id="rId8"/>
      <w:pgSz w:w="12240" w:h="15840" w:orient="portrait"/>
      <w:pgMar w:top="1680" w:right="1440" w:bottom="1300" w:left="1440" w:header="560" w:footer="48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392B" w:sz="4" w:space="6"/>
      </w:pBdr>
      <w:tabs>
        <w:tab w:val="right" w:pos="9360"/>
      </w:tabs>
    </w:pPr>
    <w:r>
      <w:rPr>
        <w:rFonts w:ascii="Calibri" w:cs="Calibri" w:eastAsia="Calibri" w:hAnsi="Calibri"/>
        <w:color w:val="808080"/>
        <w:sz w:val="15"/>
        <w:szCs w:val="15"/>
      </w:rPr>
      <w:t xml:space="preserve">PACCAR Warranty Policy 1-5.1 Rev. 1.0  —  Andrews Logistics LP (Controlled)</w:t>
    </w:r>
    <w:r>
      <w:rPr>
        <w:rFonts w:ascii="Calibri" w:cs="Calibri" w:eastAsia="Calibri" w:hAnsi="Calibri"/>
        <w:color w:val="808080"/>
        <w:sz w:val="15"/>
        <w:szCs w:val="15"/>
      </w:rPr>
      <w:t xml:space="preserve">	Page </w:t>
    </w:r>
    <w:r>
      <w:rPr>
        <w:rFonts w:ascii="Calibri" w:cs="Calibri" w:eastAsia="Calibri" w:hAnsi="Calibri"/>
        <w:color w:val="808080"/>
        <w:sz w:val="15"/>
        <w:szCs w:val="15"/>
      </w:rPr>
      <w:fldChar w:fldCharType="begin"/>
      <w:instrText xml:space="preserve">PAGE</w:instrText>
      <w:fldChar w:fldCharType="separate"/>
      <w:fldChar w:fldCharType="end"/>
    </w:r>
    <w:r>
      <w:rPr>
        <w:rFonts w:ascii="Calibri" w:cs="Calibri" w:eastAsia="Calibri" w:hAnsi="Calibri"/>
        <w:color w:val="808080"/>
        <w:sz w:val="15"/>
        <w:szCs w:val="15"/>
      </w:rPr>
      <w:t xml:space="preserve"> of </w:t>
    </w:r>
    <w:r>
      <w:rPr>
        <w:rFonts w:ascii="Calibri" w:cs="Calibri" w:eastAsia="Calibri" w:hAnsi="Calibri"/>
        <w:color w:val="808080"/>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pPr>
    <w:r>
      <w:drawing>
        <wp:inline distT="0" distB="0" distL="0" distR="0">
          <wp:extent cx="5943600" cy="390525"/>
          <wp:effectExtent t="0" r="0" b="0" l="0"/>
          <wp:docPr id="1" name="logo" descr="Andrews Logistics LP" title="Andrews Log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5943600" cy="3905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lvl w:ilvl="1" w15:tentative="1">
      <w:start w:val="1"/>
      <w:numFmt w:val="bullet"/>
      <w:lvlText w:val="–"/>
      <w:lvlJc w:val="left"/>
      <w:pPr>
        <w:ind w:left="900" w:hanging="260"/>
      </w:pPr>
    </w:lvl>
  </w:abstractNum>
  <w:abstractNum w:abstractNumId="3" w15:restartNumberingAfterBreak="0">
    <w:multiLevelType w:val="hybridMultilevel"/>
    <w:lvl w:ilvl="0" w15:tentative="1">
      <w:start w:val="1"/>
      <w:numFmt w:val="decimal"/>
      <w:lvlText w:val="%1."/>
      <w:lvlJc w:val="left"/>
      <w:pPr>
        <w:ind w:left="460" w:hanging="280"/>
      </w:pPr>
    </w:lvl>
  </w:abstractNum>
  <w:abstractNum w:abstractNumId="4" w15:restartNumberingAfterBreak="0">
    <w:multiLevelType w:val="hybridMultilevel"/>
    <w:lvl w:ilvl="0" w15:tentative="1">
      <w:start w:val="1"/>
      <w:numFmt w:val="decimal"/>
      <w:lvlText w:val="%1."/>
      <w:lvlJc w:val="left"/>
      <w:pPr>
        <w:ind w:left="460" w:hanging="280"/>
      </w:pPr>
    </w:lvl>
  </w:abstractNum>
  <w:abstractNum w:abstractNumId="5" w15:restartNumberingAfterBreak="0">
    <w:multiLevelType w:val="hybridMultilevel"/>
    <w:lvl w:ilvl="0" w15:tentative="1">
      <w:start w:val="1"/>
      <w:numFmt w:val="decimal"/>
      <w:lvlText w:val="%1."/>
      <w:lvlJc w:val="left"/>
      <w:pPr>
        <w:ind w:left="460" w:hanging="280"/>
      </w:pPr>
    </w:lvl>
  </w:abstractNum>
  <w:abstractNum w:abstractNumId="6" w15:restartNumberingAfterBreak="0">
    <w:multiLevelType w:val="hybridMultilevel"/>
    <w:lvl w:ilvl="0" w15:tentative="1">
      <w:start w:val="1"/>
      <w:numFmt w:val="decimal"/>
      <w:lvlText w:val="%1."/>
      <w:lvlJc w:val="left"/>
      <w:pPr>
        <w:ind w:left="460" w:hanging="280"/>
      </w:pPr>
    </w:lvl>
  </w:abstractNum>
  <w:abstractNum w:abstractNumId="7" w15:restartNumberingAfterBreak="0">
    <w:multiLevelType w:val="hybridMultilevel"/>
    <w:lvl w:ilvl="0" w15:tentative="1">
      <w:start w:val="1"/>
      <w:numFmt w:val="decimal"/>
      <w:lvlText w:val="%1."/>
      <w:lvlJc w:val="left"/>
      <w:pPr>
        <w:ind w:left="460" w:hanging="280"/>
      </w:pPr>
    </w:lvl>
  </w:abstractNum>
  <w:abstractNum w:abstractNumId="8" w15:restartNumberingAfterBreak="0">
    <w:multiLevelType w:val="hybridMultilevel"/>
    <w:lvl w:ilvl="0" w15:tentative="1">
      <w:start w:val="1"/>
      <w:numFmt w:val="decimal"/>
      <w:lvlText w:val="%1."/>
      <w:lvlJc w:val="left"/>
      <w:pPr>
        <w:ind w:left="460" w:hanging="280"/>
      </w:pPr>
    </w:lvl>
  </w:abstractNum>
  <w:abstractNum w:abstractNumId="9" w15:restartNumberingAfterBreak="0">
    <w:multiLevelType w:val="hybridMultilevel"/>
    <w:lvl w:ilvl="0" w15:tentative="1">
      <w:start w:val="1"/>
      <w:numFmt w:val="decimal"/>
      <w:lvlText w:val="%1."/>
      <w:lvlJc w:val="left"/>
      <w:pPr>
        <w:ind w:left="460" w:hanging="280"/>
      </w:pPr>
    </w:lvl>
  </w:abstractNum>
  <w:abstractNum w:abstractNumId="10" w15:restartNumberingAfterBreak="0">
    <w:multiLevelType w:val="hybridMultilevel"/>
    <w:lvl w:ilvl="0" w15:tentative="1">
      <w:start w:val="1"/>
      <w:numFmt w:val="decimal"/>
      <w:lvlText w:val="%1."/>
      <w:lvlJc w:val="left"/>
      <w:pPr>
        <w:ind w:left="46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2E74B5" w:sz="6" w:space="3"/>
      </w:pBdr>
      <w:spacing w:after="120" w:before="300"/>
      <w:outlineLvl w:val="0"/>
    </w:pPr>
    <w:rPr>
      <w:rFonts w:ascii="Calibri" w:cs="Calibri" w:eastAsia="Calibri" w:hAnsi="Calibri"/>
      <w:b/>
      <w:bCs/>
      <w:color w:val="1B3A6B"/>
      <w:sz w:val="28"/>
      <w:szCs w:val="28"/>
    </w:rPr>
  </w:style>
  <w:style w:type="paragraph" w:styleId="Heading2">
    <w:name w:val="Heading 2"/>
    <w:basedOn w:val="Normal"/>
    <w:next w:val="Normal"/>
    <w:qFormat/>
    <w:pPr>
      <w:spacing w:after="80" w:before="220"/>
      <w:outlineLvl w:val="1"/>
    </w:pPr>
    <w:rPr>
      <w:rFonts w:ascii="Calibri" w:cs="Calibri" w:eastAsia="Calibri" w:hAnsi="Calibri"/>
      <w:b/>
      <w:bCs/>
      <w:color w:val="2E74B5"/>
      <w:sz w:val="24"/>
      <w:szCs w:val="24"/>
    </w:rPr>
  </w:style>
  <w:style w:type="paragraph" w:styleId="Heading3">
    <w:name w:val="Heading 3"/>
    <w:basedOn w:val="Normal"/>
    <w:next w:val="Normal"/>
    <w:qFormat/>
    <w:pPr>
      <w:spacing w:after="60" w:before="140"/>
      <w:outlineLvl w:val="2"/>
    </w:pPr>
    <w:rPr>
      <w:rFonts w:ascii="Calibri" w:cs="Calibri" w:eastAsia="Calibri" w:hAnsi="Calibri"/>
      <w:b/>
      <w:bCs/>
      <w:color w:val="1F4D78"/>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3109c5fd7739982ef29c1e1a8bd976fb079237ed.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Andrews Logistics LP</dc:creator>
  <cp:lastModifiedBy>Un-named</cp:lastModifiedBy>
  <cp:revision>1</cp:revision>
  <dcterms:created xsi:type="dcterms:W3CDTF">2026-05-29T20:38:06.507Z</dcterms:created>
  <dcterms:modified xsi:type="dcterms:W3CDTF">2026-05-29T20:38:06.507Z</dcterms:modified>
</cp:coreProperties>
</file>

<file path=docProps/custom.xml><?xml version="1.0" encoding="utf-8"?>
<Properties xmlns="http://schemas.openxmlformats.org/officeDocument/2006/custom-properties" xmlns:vt="http://schemas.openxmlformats.org/officeDocument/2006/docPropsVTypes"/>
</file>